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Внимание! Данный аналитический материал сгенерирован автоматически компьютерной программой.</w:t>
      </w:r>
    </w:p>
    <w:p>
      <w:pPr>
        <w:pStyle w:val="Heading1"/>
        <w:jc w:val="center"/>
      </w:pPr>
      <w:r>
        <w:t xml:space="preserve">Результаты мониторинга ФГОС ОВЗ 2024 </w:t>
        <w:br/>
        <w:t xml:space="preserve"> МОУ Метелевская СШ</w:t>
      </w:r>
    </w:p>
    <w:p/>
    <w:p>
      <w:r>
        <w:t xml:space="preserve">В 2024 году мониторинг ФГОС ОВЗ проводится в соответствии с обновленной методикой Единого Мониторинга ФГОС и разделен на две части. </w:t>
        <w:br/>
        <w:t xml:space="preserve"> Первая часть – инвариантная и представляет совокупность показателей, характеризующих выполнение кадровых и материально-технических условий. Сведения для расчёта инвариантной части получены автоматически из форм федерального статистического наблюдения (ОО-1 и ОО-2). </w:t>
        <w:br/>
        <w:t xml:space="preserve"> Вариативная часть мониторинга заключается в получении сведений из информационной системы «Мониторинг ФГОС». Решение о внесении сведений в данную систему относятся к компетенции МОУО и общеобразовательной организации, и анализируются ими самостоятельно. </w:t>
        <w:br/>
        <w:t xml:space="preserve"> Данный аналитический материал содержит сведения только инвариантной части, сформированной по результатам анализа ФСН ОО-1 и ОО-2. С методикой расчёта инвариантной части, региональной аналитикой, а также со сводной таблицей Excel с результатами расчётов вы можете ознакомиться в папке «0_Регион».</w:t>
      </w:r>
    </w:p>
    <w:p>
      <w:r>
        <w:t>Ваш итоговый процент соотвествия условиям реализации адаптированных основных общеобразовательных программ составил 66.4%, это выше среднего уровень.</w:t>
      </w:r>
    </w:p>
    <w:p/>
    <w:p>
      <w:pPr>
        <w:pStyle w:val="Heading2"/>
      </w:pPr>
      <w:r>
        <w:t>Группа условий 1. Кадровые условия</w:t>
      </w:r>
    </w:p>
    <w:p>
      <w:r>
        <w:t>Ваш процент соотвествия данной группе условий составил 80.0%, это выше среднего уровень.</w:t>
      </w:r>
      <w:r>
        <w:t xml:space="preserve"> Процент реализации показателей в рамках данной группы условий: </w:t>
      </w:r>
    </w:p>
    <w:p>
      <w:r>
        <w:t>Вопрос 1.1. Доля руководящих работников ООО, имеющих высшее образование – 100.0%</w:t>
      </w:r>
    </w:p>
    <w:p>
      <w:r>
        <w:t>Вопрос 1.2. Доля педагогических работников ООО, уровень образования и квалификации которых соответствует требованиям – 100.0%</w:t>
      </w:r>
    </w:p>
    <w:p>
      <w:r>
        <w:t>Вопрос 1.3. Доля иных работников (психологов, дефектологов, логопедов) ООО, уровень образования и квалификации которых соответствует требованиям – 0.0%</w:t>
      </w:r>
    </w:p>
    <w:p>
      <w:r>
        <w:t>Вопрос 1.4. Доля работников ООО, прошедших в течение последних трех лет повышение квалификации и (или) профессиональную переподготовку – 100.0%</w:t>
      </w:r>
    </w:p>
    <w:p>
      <w:r>
        <w:t>Вопрос 1.5. Доля учителей, использующих современные образовательные технологии обучения и воспитания – 100.0%</w:t>
      </w:r>
    </w:p>
    <w:p/>
    <w:p>
      <w:pPr>
        <w:pStyle w:val="Heading2"/>
      </w:pPr>
      <w:r>
        <w:t>Группа условий 2. Материально-технические условия</w:t>
      </w:r>
    </w:p>
    <w:p>
      <w:r>
        <w:t>Ваш процент соотвествия данной группе условий составил 52.8%, это средний уровень.</w:t>
      </w:r>
      <w:r>
        <w:t xml:space="preserve"> Процент реализации показателей в рамках данной группы условий: </w:t>
      </w:r>
    </w:p>
    <w:p>
      <w:r>
        <w:t>Вопрос 2.1. Доля зданий (помещений) ООО, доступных для маломобильных групп населения – 0.0%</w:t>
      </w:r>
    </w:p>
    <w:p>
      <w:r>
        <w:t>Вопрос 2.2. Доля технических средств обучения, необходимых для реализации АООП НОО в ООО – 100.0%</w:t>
      </w:r>
    </w:p>
    <w:p>
      <w:r>
        <w:t>Вопрос 2.3. Доля современных компьютерных программ и электронных средств обучения, необходимых для достижения каждым обучающимся максимально возможных для него результатов освоения АООП НОО – 50.0%</w:t>
      </w:r>
    </w:p>
    <w:p>
      <w:r>
        <w:t>Вопрос 2.4. Доля зданий (помещений) ООО, соответствующих требованиям соблюдения пожарной и электробезопасности – 66.67%</w:t>
      </w:r>
    </w:p>
    <w:p>
      <w:r>
        <w:t>Вопрос 2.5. Доля зданий (помещений) ООО, соответствующих требованиям соблюдения своевременных сроков и необходимых объемов текущего и капитального ремонта и другого – 100.0%</w:t>
      </w:r>
    </w:p>
    <w:p>
      <w:r>
        <w:t>Вопрос 2.6. Доля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 – 0.0%</w:t>
      </w:r>
    </w:p>
    <w:p/>
    <w:p>
      <w:r>
        <w:t>Данный автоматизированный аналитический материал (ААМ) является краткой статистико-аналитической справкой. Вы можете в нее добавить свои аналитические заключения, управленческие решения и адресные рекомендации. Кроме того, вы также можете ознакомиться с графиками по результатам мониторинга посредством дашборда «Мониторинг ФГОС ОВЗ», расположенном в СИЦ Образование в Челябинской области (stats.chiro74.ru). Если вы обнаружили ошибку, напишите мне: elizaveta.benko@chiro74.ru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